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4C1F0C" w:rsidRPr="00254FF8" w:rsidTr="00AC529E">
        <w:tc>
          <w:tcPr>
            <w:tcW w:w="4782" w:type="dxa"/>
          </w:tcPr>
          <w:p w:rsidR="004C1F0C" w:rsidRPr="00320997" w:rsidRDefault="004C1F0C" w:rsidP="00AC52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3" w:type="dxa"/>
          </w:tcPr>
          <w:p w:rsidR="008A1AE0" w:rsidRPr="008A1AE0" w:rsidRDefault="008A1AE0" w:rsidP="008A1AE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«УТВЕРЖДЕНО» </w:t>
            </w:r>
          </w:p>
          <w:p w:rsidR="008A1AE0" w:rsidRPr="008A1AE0" w:rsidRDefault="008A1AE0" w:rsidP="008A1AE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Протоколом № </w:t>
            </w:r>
            <w:r w:rsidR="00254FF8" w:rsidRPr="00254F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общего </w:t>
            </w:r>
            <w:r w:rsidR="008443E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собрания акционеров АО «</w:t>
            </w:r>
            <w:r w:rsidR="00BD01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CHILONZOR BUYUM SAVDO KOMPLEKSI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</w:p>
          <w:p w:rsidR="004C1F0C" w:rsidRPr="00254FF8" w:rsidRDefault="008A1AE0" w:rsidP="00254FF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54F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 «</w:t>
            </w:r>
            <w:r w:rsidR="00254FF8" w:rsidRPr="00254F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25</w:t>
            </w:r>
            <w:r w:rsidRPr="00254F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  <w:r w:rsidR="00254F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июнь</w:t>
            </w:r>
            <w:r w:rsidR="008443E1" w:rsidRPr="00254F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</w:t>
            </w:r>
            <w:r w:rsidR="00254F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17</w:t>
            </w:r>
            <w:r w:rsidR="008443E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254F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года</w:t>
            </w:r>
          </w:p>
        </w:tc>
      </w:tr>
    </w:tbl>
    <w:p w:rsid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"/>
      <w:bookmarkEnd w:id="0"/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E9" w:rsidRPr="00254FF8" w:rsidRDefault="004036E9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2F22" w:rsidRPr="00F14FE0" w:rsidRDefault="00B42F22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ПОЛОЖЕНИЕ </w:t>
      </w:r>
    </w:p>
    <w:p w:rsid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ВНУТРЕННЕМ КОНТРОЛЕ</w:t>
      </w:r>
      <w:r w:rsid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0F1E6B" w:rsidRP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АКЦИОНЕРНОГО ОБЩЕСТВА «</w:t>
      </w:r>
      <w:r w:rsidR="00BD0142">
        <w:rPr>
          <w:rFonts w:ascii="Times New Roman" w:hAnsi="Times New Roman" w:cs="Times New Roman"/>
          <w:b/>
          <w:sz w:val="28"/>
          <w:szCs w:val="24"/>
          <w:lang w:val="ru-RU"/>
        </w:rPr>
        <w:t>CHILONZOR BUYUM SAVDO KOMPLEKSI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F14FE0" w:rsidRDefault="00F14FE0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36E9" w:rsidRPr="004C73D5" w:rsidRDefault="004036E9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D696F" w:rsidRDefault="00ED696F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3800" w:rsidRDefault="000A380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1E6B" w:rsidRPr="00F14FE0" w:rsidRDefault="000F1E6B" w:rsidP="00F14FE0">
      <w:pPr>
        <w:rPr>
          <w:rFonts w:ascii="Times New Roman" w:hAnsi="Times New Roman" w:cs="Times New Roman"/>
          <w:sz w:val="28"/>
          <w:szCs w:val="28"/>
          <w:lang w:val="ru-RU"/>
        </w:rPr>
        <w:sectPr w:rsidR="000F1E6B" w:rsidRPr="00F14FE0" w:rsidSect="00ED696F">
          <w:footerReference w:type="default" r:id="rId8"/>
          <w:type w:val="continuous"/>
          <w:pgSz w:w="11900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0F1E6B" w:rsidRDefault="00D10545" w:rsidP="00ED6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ge3"/>
      <w:bookmarkEnd w:id="1"/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ОГЛАВЛЕНИЕ</w:t>
      </w:r>
    </w:p>
    <w:p w:rsidR="00ED696F" w:rsidRPr="00ED696F" w:rsidRDefault="00ED696F" w:rsidP="00ED6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426"/>
      </w:tblGrid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221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……………………………………………...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И ЦЕЛИ СИСТЕМЫ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…………………………………………………………...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ПРИНЦИПЫ ФУНКЦИОНИРОВАНИЯ СИСТЕМЫ ВНУТРЕННЕГО</w:t>
            </w:r>
            <w:r w:rsidRPr="00ED6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КОМПОНЕНТЫ СИСТЕМЫ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 И ЛИЦА, ОТВЕТС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ТВЕННЫЕ ЗА ВНУТРЕННИЙ КОНТРОЛЬ ……………………………………………………………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ПРОЦЕДУРЫ И МЕТОДЫ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VII.</w:t>
            </w:r>
          </w:p>
        </w:tc>
        <w:tc>
          <w:tcPr>
            <w:tcW w:w="8221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……………………………...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96F" w:rsidRDefault="00ED696F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2B7FDC" w:rsidP="004036E9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ge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I. </w:t>
      </w:r>
      <w:r w:rsidR="00D10545" w:rsidRPr="00F14FE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о внутреннем контроле (далее - Положение) </w:t>
      </w:r>
      <w:r w:rsidR="008A3F53">
        <w:rPr>
          <w:rFonts w:ascii="Times New Roman" w:hAnsi="Times New Roman" w:cs="Times New Roman"/>
          <w:sz w:val="28"/>
          <w:szCs w:val="28"/>
          <w:lang w:val="ru-RU"/>
        </w:rPr>
        <w:t>акционерного общества</w:t>
      </w:r>
      <w:r w:rsidR="00B42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FE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D0142">
        <w:rPr>
          <w:rFonts w:ascii="Times New Roman" w:hAnsi="Times New Roman" w:cs="Times New Roman"/>
          <w:sz w:val="28"/>
          <w:szCs w:val="28"/>
          <w:lang w:val="ru-RU"/>
        </w:rPr>
        <w:t>CHILONZOR BUYUM SAVDO KOMPLEKSI</w:t>
      </w:r>
      <w:r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(далее - Общество) разработано в соответствии с действующим законодательством Республики Узбекистан, </w:t>
      </w:r>
      <w:r w:rsidR="00ED696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ставом Общества, Кодексом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9 и </w:t>
      </w:r>
      <w:r w:rsidR="008A3F53">
        <w:rPr>
          <w:rFonts w:ascii="Times New Roman" w:hAnsi="Times New Roman" w:cs="Times New Roman"/>
          <w:sz w:val="28"/>
          <w:szCs w:val="28"/>
          <w:lang w:val="ru-RU"/>
        </w:rPr>
        <w:t xml:space="preserve">иными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внутренними документами Общества.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определяет цели и задачи системы внутреннего контроля, принципы ее функционирования, а также органы Общества и лиц, ответственных за внутренний контроль. </w:t>
      </w:r>
    </w:p>
    <w:p w:rsidR="000F1E6B" w:rsidRPr="00F14FE0" w:rsidRDefault="00D10545" w:rsidP="004036E9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ОПРЕДЕЛЕНИЕ И ЦЕЛИ СИСТЕМЫ </w:t>
      </w:r>
      <w:r w:rsidR="004036E9" w:rsidRPr="004036E9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ВНУТРЕННЕГО КОНТРОЛЯ</w:t>
      </w:r>
    </w:p>
    <w:p w:rsidR="000F1E6B" w:rsidRP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3. Внутренний контроль – это непрерывно действующий процесс, встроенный в деятельность Общества и направленный на повышение эффективности процессов управления рисками, контроля и корпоративного управления с целью получения обоснованного и достаточного относительно достижения целей Общества подтверждения в следующих сферах: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эффективность и производительность деятельности, включая степень эффективности функционирования, получение прибыли и защиту активов;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надежность и достоверность финансовой отчетности;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соответствие законодательству и нормам права, которые регулируют деятельность Общества.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Система внутреннего контроля - это совокупность организационной структуры, контролирующих мер, процедур и методов внутреннего контроля, регламентированных внутренними документами, организованных и осуществляемых в Обществе ревизионной комиссией, службой внутреннего аудита, наблюдательным советом, исполнительным органом и другими сотрудниками на всех уровнях (далее – субъекты внутреннего контроля) и по всем функциям. Квалификация членов органов внутреннего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установлена в Положениях об их деятельности.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Процедуры внутреннего контроля - это совокупность мер, осуществляемых ревизионной комиссией Общества, комитетом наблюдательного совета общества по аудиту, наблюдательным советом общества, исполнительным органом Общества, а также подразделениями Общества, уполномоченными осуществлять внутренний контроль (далее - подразделения Общества), и направленных на выявление нарушений законодательства и внутренних документов Общества при осуществлении финансово - хозяйственной деятельности, на оценку эффективности достижения Обществом поставленных целей, а также взаимодействия </w:t>
      </w:r>
      <w:bookmarkStart w:id="3" w:name="page7"/>
      <w:bookmarkEnd w:id="3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субъектов внутреннего контроля между собой в процессе реализации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процедур внутреннего контроля.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Основной целью внутреннего контроля является обеспечение защиты прав и законных интересов всех акцио</w:t>
      </w:r>
      <w:r>
        <w:rPr>
          <w:rFonts w:ascii="Times New Roman" w:hAnsi="Times New Roman" w:cs="Times New Roman"/>
          <w:sz w:val="28"/>
          <w:szCs w:val="28"/>
          <w:lang w:val="ru-RU"/>
        </w:rPr>
        <w:t>неров, в том числе миноритарных.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Внутренний контроль призван обеспечить в оперативном режиме: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сохранность активов, экономичное и эффективное использование ресурсов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соблюдение требований действующего законодательства и внутренних документов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выполнение стратегии развития общества на среднесрочный и долгосрочный период, бизнес-планов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полноту и достоверность бухгалтерских документов, финансовой отчетности и управленческой информации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выявление, идентификацию и анализ рисков в момент их возникновения в деятельности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планирование и управление рисками в деятельности Общества, включая принятие своевременных и адекватных решений по управлению риском;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установление и поддержание хорошей репутации Общества в деловых кругах и у потребителей;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адекватность, прозрачность и объективность выплаты вознаграждений и компенсаций, в том числе его размеров, членам исполнительного органа, наблюдательного совета и ревизионной комиссии.</w:t>
      </w:r>
    </w:p>
    <w:p w:rsidR="000F1E6B" w:rsidRPr="00F14FE0" w:rsidRDefault="00D10545" w:rsidP="004036E9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ПРИНЦИПЫ ФУНКЦИОНИРОВАНИЯ СИСТЕМЫ ВНУТРЕННЕГО КОНТРОЛЯ</w:t>
      </w:r>
    </w:p>
    <w:p w:rsidR="000F1E6B" w:rsidRP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8. Система внутреннего контроля в Обществе строится на следующих принципах: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бесперебойное функционирование – постоянное и надлежащее функционирование системы внутреннего контроля позволяет Обществу своевременно выявлять любые отклонения от нормы и предупреждать их возникновение в будущем;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подотчетность всех участников системы внутреннего контроля – качество выполнения контрольных функций каждым лицом контролируется другим участником системы внутреннего контроля;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разделение обязанностей – Общество стремится не допустить дублирования контрольных функций, и эти функции должны распределяться между работниками таким образом, чтобы одно и то же лицо не объединяло функции, связанные с утверждением операций с определенными активами,</w:t>
      </w:r>
      <w:bookmarkStart w:id="4" w:name="page9"/>
      <w:bookmarkEnd w:id="4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 учетом операций, обеспечением сохранности активов и проведением их инвентаризации;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надлежащее одобрение и утверждение операций – Общество стремится установить порядок утверждения всех финансово-хозяйственных операций уполномоченными лицами в пределах их соответствующих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полномочий;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обеспечение организационной обособленности подразделения Общества, осуществляющего ежедневный внутренний контроль, и его функциональная подотчетность непосредственно Наблюдательному совету через Комитет по аудиту;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ответственность всех субъектов внутреннего контроля, работающих в Обществе, за надлежащее выполнение контрольных функций;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осуществление внутреннего контроля на основе четкого взаимодействия всех подразделений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постоянное развитие и совершенствование – Общество стремится обеспечить условия для гибкой настройки системы внутреннего контроля, чтобы она могла быть адаптирована с учетом необходимости решать новые задачи, расширять и совершенствовать саму систему;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своевременность передачи сообщений об отклонениях – в Обществе установлены максимально короткие сроки передачи соответствующей информации лицам, уполномоченным принимать решения об устранении отклонений;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приоритетности областей деятельности Общества, в которых налаживается контроль – выделяются стратегические направления, охватываемые системой внутреннего контроля, даже если эффективность их функционирования (соотношение «затраты – экономический эффект») трудно измерить.</w:t>
      </w:r>
    </w:p>
    <w:p w:rsidR="000F1E6B" w:rsidRPr="00F14FE0" w:rsidRDefault="00D10545" w:rsidP="004036E9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КОМПОНЕНТЫ СИСТЕМЫ ВНУТРЕННЕГО КОНТРОЛЯ</w:t>
      </w:r>
    </w:p>
    <w:p w:rsidR="000F1E6B" w:rsidRP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9. Система внутреннего контроля включает следующие взаимосвязанные компоненты: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контрольная среда, включающая в себя этические ценности и компетентность сотрудников Общества, политику руководства, способ распределения руководством полномочий и ответственности, структуру организации и повышение квалификации сотрудников, а также руководство и управление со стороны наблюдательного совета;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оценка рисков – представляющая собой идентификацию и анализ соответствующих рисков при достижении определенных задач, связанных между собой на различных уровнях и внутренне последовательных;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деятельность по контролю, обобщающая политику и процедуры, которые помогают гарантировать, что решения руководства исполняются, и включающая целый ряд самых разнообразных действий, таких как: выдача одобрений, санкций, подтверждений, проведение проверок, контроль</w:t>
      </w:r>
      <w:bookmarkStart w:id="5" w:name="page11"/>
      <w:bookmarkEnd w:id="5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текущей деятельности, гарантия безопасности активов и разделение полномочий;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включающая в том числе создание эффективных каналов обмена информацией в целях формирования у всех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lastRenderedPageBreak/>
        <w:t>субъектов внутреннего контроля понимания принятых в Обществе политики и процедур внутреннего контроля и обеспечения их исполнения. Общество принимает меры для защиты от несанкционированного доступа к информации;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мониторинг - процесс, включающий в себя функции управления и надзора, во время которого оценивается качество работы системы с течением времени. Оценка системы внутреннего контроля проводится для определения вероятности возникновения ошибок, влияющих на достоверность финансовой отчетности, выяснения существенности этих ошибок и определения способности системы внутреннего контроля обеспечить выполнение поставленных задач. Для оценки эффективности системы внутреннего контроля в АО решением общего собрания акционеров на основании предложения Наблюдательного совета может быть привлечена независимая профессиональная организация – консультант.</w:t>
      </w:r>
    </w:p>
    <w:p w:rsidR="000F1E6B" w:rsidRPr="00F14FE0" w:rsidRDefault="00D10545" w:rsidP="004036E9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ОРГАНЫ И ЛИЦА, ОТВЕТСТВЕННЫЕ ЗА ВНУТРЕННИЙ КОНТРОЛЬ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Внутренний контроль осуществляется ревизионной комиссией, комитетом по аудиту при наблюдательном совете, наблюдательным советом Общества, руководителем исполнительного органа, службой внутреннего аудита, а также другими сотрудниками Общества на всех уровнях, и при этом каждый несет в установленном порядке ответственность за внутренний контроль.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Функции, права и обязанности, ответственность, порядок расчета компенсаций и выплачиваемых вознаграждений функционирующих в Обществе подразделений предусмотрены внутренними документами Общества. Данные документы, равно как и иные документы, прямо или косвенно затрагивающие вопросы внутреннего контроля не могут противоречить Положению.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системного характера контроля финансово-хозяйственной деятельности Общества проведение процедур внутреннего контроля осуществляется уполномоченным подразделением Общества – службой внутреннего аудита, а в случае отсутствия такой службы ревизионной комиссией Общества, ответственным за внутренний контроль, во взаимодействии с другими органами и подразделениями Общества.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 функции Наблюдательного совета входит: </w:t>
      </w:r>
    </w:p>
    <w:p w:rsidR="000F1E6B" w:rsidRPr="00F14FE0" w:rsidRDefault="00F14FE0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6" w:name="page13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направления развития и одобрения определенных операций и стратегий системы внутреннего контроля;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ежегодное сообщение на годовом общем собрании акционеров Общества о результатах проведенного анализа и оценки над</w:t>
      </w:r>
      <w:r w:rsidR="00C732C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жности и эффективности системы внутреннего контроля, основанного на данных регулярных отчетов руководителя исполнительного органа Общества, внутреннего и внешнего аудитов, ревизионной комиссии, информации из других источников и собственных наблюдениях по всем аспектам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lastRenderedPageBreak/>
        <w:t>внутреннего контроля, включая: финансовый контроль, операционный контроль, контроль над соблюдением законодательства, контроль внутренних политик и процедур;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структуры и состава подразделения Общества, ответственного за внутренний контроль;</w:t>
      </w:r>
    </w:p>
    <w:p w:rsidR="000F1E6B" w:rsidRPr="00F14FE0" w:rsidRDefault="00F14FE0" w:rsidP="00F14F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постоянное совершенствование процедур внутреннего контроля.</w:t>
      </w:r>
    </w:p>
    <w:p w:rsidR="000F1E6B" w:rsidRPr="00F14FE0" w:rsidRDefault="00F14FE0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Ответственность за организацию контроля над достоверностью и полнотой финансовой отч</w:t>
      </w:r>
      <w:r w:rsidR="00D767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тности, над</w:t>
      </w:r>
      <w:r w:rsidR="00D767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жностью и эффективностью системы внутреннего контроля Общества возлагается на Комитет по аудиту наблюдательного совета, роль, цели, задачи и полномочия которой отражены </w:t>
      </w:r>
      <w:r w:rsidR="00D7672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Положении о Комитете по аудиту Наблюдательного совета Общества.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ее функционирование, в соответствии с </w:t>
      </w:r>
      <w:r w:rsidR="00D10545" w:rsidRPr="00BE5D0E">
        <w:rPr>
          <w:rFonts w:ascii="Times New Roman" w:hAnsi="Times New Roman" w:cs="Times New Roman"/>
          <w:sz w:val="28"/>
          <w:szCs w:val="28"/>
          <w:lang w:val="ru-RU"/>
        </w:rPr>
        <w:t>утвержд</w:t>
      </w:r>
      <w:r w:rsidR="00BE5D0E" w:rsidRPr="00BE5D0E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D10545" w:rsidRPr="00BE5D0E">
        <w:rPr>
          <w:rFonts w:ascii="Times New Roman" w:hAnsi="Times New Roman" w:cs="Times New Roman"/>
          <w:sz w:val="28"/>
          <w:szCs w:val="28"/>
          <w:lang w:val="ru-RU"/>
        </w:rPr>
        <w:t>нной наблюдательным советом политикой в области внутреннего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Общества, возлагается на руководителя исполнительного органа. Руководитель исполнительного органа Общества внедряет процедуры системы внутреннего контроля и обеспечивает ее эффективное функционирование, своевременно информируя наблюдательный совет обо всех рисках Общества, существенных недостатках системы внутреннего контроля, а также о планах и результатах мероприятий по их устранению.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Сотрудники (включая руководителей) подразделений любого уровня в пределах своей компетенции принимают непосредственное участие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детальной разработке стратегий и процедур по осуществлению контроля. В их обязанности входит справляться с нестандартными ситуациями и проблемами по мере их возникновения. О значительных вопросах или возникших по конкретной сделке рисках, сотрудники докладывают вышестоящему руководству Общества.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осуществление контроля над финансово-хозяйственной деятельностью Общества и его обособленных подразделений, возлагается на постоянно действующий орган внутреннего контроля - Ревизионную комиссию, роль, цели, задачи, полномочия которой отражены в Положении о Ревизионной комиссии.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осуществление регулярного контроля над исполнением процедур внутреннего контроля, а именно за соответствием совершаемых финансово - хозяйственных операций Общества законодательству Республики Узбекистан и Уставу Общества в целом, его </w:t>
      </w:r>
      <w:bookmarkStart w:id="7" w:name="page15"/>
      <w:bookmarkEnd w:id="7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обособленных подразделений, а также над полнотой и достоверностью бухгалтерской и финансовой отчетности лежит на службе внутреннего аудита, роль, цели, задачи, полномочия которой отражены в Положении о службе внутреннего аудита.</w:t>
      </w:r>
    </w:p>
    <w:p w:rsidR="000F1E6B" w:rsidRPr="00F14FE0" w:rsidRDefault="00D10545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Положение о службе внутреннего аудита утверждается наблюдательным советом Общества.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Служба внутреннего аудита Общества отчитывается перед Комитетом наблюдательного совета по аудиту о результатах внутреннего аудита, системы внутреннего контроля. Служба внутреннего аудита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Общества подчиняется комитету наблюдательного совета по аудиту.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Следующие лица не вправе занимать должности в службе внутреннего аудита Общества: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лица, имеют непогашенную судимость за преступления в сфере экономики или за преступления против порядка;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лица, являющиеся руководителем или членами исполнительного органа Общества; </w:t>
      </w:r>
    </w:p>
    <w:p w:rsidR="000F1E6B" w:rsidRPr="003E20E5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лица, являющиеся учредителями (акционерами, участниками), </w:t>
      </w:r>
      <w:r w:rsidR="00D10545" w:rsidRPr="003E20E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руководителем или членами исполнительного органа либо работниками иного юридического лица, являющегося конкурентом Обществу; </w:t>
      </w:r>
    </w:p>
    <w:p w:rsidR="00B73668" w:rsidRPr="003E20E5" w:rsidRDefault="00B73668" w:rsidP="00B736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20E5">
        <w:rPr>
          <w:rFonts w:ascii="Times New Roman" w:hAnsi="Times New Roman" w:cs="Times New Roman"/>
          <w:sz w:val="28"/>
          <w:szCs w:val="28"/>
          <w:lang w:val="ru-RU"/>
        </w:rPr>
        <w:t>Кандидатуры  в состав Ревизионной комиссии Общества подбираются из числа работников бухгалтерии родственных предприятий, имеющих высшее финансово-экономическое образование, а также могут быть предложены специалисты Кабинета Министров, Министерства финансов, Министерства экономики и промышленности и Агентство по управлению государственными активами Республики Узбекистан;</w:t>
      </w:r>
    </w:p>
    <w:p w:rsidR="00B73668" w:rsidRPr="003E20E5" w:rsidRDefault="00B73668" w:rsidP="00B736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20E5">
        <w:rPr>
          <w:rFonts w:ascii="Times New Roman" w:hAnsi="Times New Roman" w:cs="Times New Roman"/>
          <w:sz w:val="28"/>
          <w:szCs w:val="28"/>
          <w:lang w:val="ru-RU"/>
        </w:rPr>
        <w:t>Требования, предъявляемые к лицам, избираемым в состав ревизионной комиссии общества, могут устанавливаться решением, утвержденным общим собранием акционеров.</w:t>
      </w:r>
    </w:p>
    <w:p w:rsidR="00B73668" w:rsidRPr="00B73668" w:rsidRDefault="00B73668" w:rsidP="00B736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20E5">
        <w:rPr>
          <w:rFonts w:ascii="Times New Roman" w:hAnsi="Times New Roman" w:cs="Times New Roman"/>
          <w:sz w:val="28"/>
          <w:szCs w:val="28"/>
          <w:lang w:val="ru-RU"/>
        </w:rPr>
        <w:t>Иные требования к лицам, входящим в состав службы внутреннего аудита, могут устанавливаться Наблюдательным советом Общества и Положением  о службе внутреннего аудита АО «</w:t>
      </w:r>
      <w:r w:rsidR="00BD0142">
        <w:rPr>
          <w:rFonts w:ascii="Times New Roman" w:hAnsi="Times New Roman" w:cs="Times New Roman"/>
          <w:sz w:val="28"/>
          <w:szCs w:val="28"/>
          <w:lang w:val="ru-RU"/>
        </w:rPr>
        <w:t>CHILONZOR BUYUM SAVDO KOMPLEKSI</w:t>
      </w:r>
      <w:r w:rsidRPr="003E20E5">
        <w:rPr>
          <w:rFonts w:ascii="Times New Roman" w:hAnsi="Times New Roman" w:cs="Times New Roman"/>
          <w:sz w:val="28"/>
          <w:szCs w:val="28"/>
          <w:lang w:val="ru-RU"/>
        </w:rPr>
        <w:t>».</w:t>
      </w:r>
      <w:bookmarkStart w:id="8" w:name="_GoBack"/>
      <w:bookmarkEnd w:id="8"/>
      <w:r w:rsidRPr="00B736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. Надлежащее функционирование системы внутреннего контроля зависит также от профессионализма сотрудников. Общество прилагает усилия к тому, чтобы система подбора, найма, обучения, подготовки кадров и продвижению сотрудников по службе обеспечивала их высокую квалификацию и соблюдение ими высоких этических стандартов.</w:t>
      </w:r>
    </w:p>
    <w:p w:rsidR="000F1E6B" w:rsidRPr="00F14FE0" w:rsidRDefault="00D10545" w:rsidP="004036E9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ПРОЦЕДУРЫ И МЕТОДЫ ВНУТРЕННЕГО КОНТРОЛЯ</w:t>
      </w:r>
    </w:p>
    <w:p w:rsidR="000F1E6B" w:rsidRPr="00F14FE0" w:rsidRDefault="00D10545" w:rsidP="00D767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767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14FE0">
        <w:rPr>
          <w:rFonts w:ascii="Times New Roman" w:hAnsi="Times New Roman" w:cs="Times New Roman"/>
          <w:sz w:val="28"/>
          <w:szCs w:val="28"/>
          <w:lang w:val="ru-RU"/>
        </w:rPr>
        <w:t>. Процедуры внутреннего контроля Общества включают: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взаимосвязанных и непротиворечивых целей и задач на различных уровнях управления Обществом;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выявление и анализ потенциальных и существующих оперативных, финансовых, стратегических и других рисков, которые могут помешать достижению целей деятельности Общества;</w:t>
      </w:r>
    </w:p>
    <w:p w:rsidR="000F1E6B" w:rsidRPr="00F14FE0" w:rsidRDefault="00D76726" w:rsidP="00D767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оценка существенных компонентов внутреннего контроля;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оценка эффективности системы внутреннего контроля бизнес-процессов;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критериев и оценки эффективности работы структурных подразделений, должностных лиц и иных сотрудников Общества;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page17"/>
      <w:bookmarkEnd w:id="9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рассмотрение финансовой и другой информации в сравнении с сопоставимой информацией за предыдущие периоды или с ожидаемыми результатами деятельности;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использование адекватных способов учета событий, операций и транзакций;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проверку сохранности активов; надлежащее документирование процедур внутреннего контроля;</w:t>
      </w:r>
    </w:p>
    <w:p w:rsidR="000F1E6B" w:rsidRPr="00F14FE0" w:rsidRDefault="00D76726" w:rsidP="00D767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регулярные оценки качества системы внутреннего контроля;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доведение до всех сотрудников Общества их обязанностей в сфере внутреннего контроля;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распределение ключевых обязанностей между сотрудниками Общества (в том числе обязанностей по одобрению и утверждению операций, учету операций, выдаче, хранению и получению ресурсов, анализу и проверке операций);</w:t>
      </w: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утверждение и осуществление операций только теми лицами, которые наделены соответствующими полномочиями;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иные процедуры необходимые для достижения целей внутреннего контроля.</w:t>
      </w:r>
    </w:p>
    <w:p w:rsidR="000F1E6B" w:rsidRPr="00F14FE0" w:rsidRDefault="00D10545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23. При проведении процедур внутреннего контроля применяются методы инспектирования, наблюдения, подтверждения, пересчета, а также иные методы, необходимые для осуществления процедур внутреннего контроля.</w:t>
      </w:r>
    </w:p>
    <w:p w:rsidR="000F1E6B" w:rsidRPr="00D76726" w:rsidRDefault="00D10545" w:rsidP="004036E9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D76726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ЗАКЛЮЧИТЕЛЬНЫЕ ПОЛОЖЕНИЯ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Положение, а также изменения и дополнения </w:t>
      </w:r>
      <w:r w:rsidR="00415897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415897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утверждаются решением общего собрания акционеров.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Дополнения и изменения в Положение вносятся по предложению членов наблюдательного совета Общества, внешнего аудитора Общества, ревизионной комиссии Общества, службы внутреннего аудита Общества, руководителя исполнительного органа Общества. </w:t>
      </w:r>
    </w:p>
    <w:p w:rsidR="00F14FE0" w:rsidRPr="000A380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26. </w:t>
      </w:r>
      <w:r w:rsidR="000A3800" w:rsidRPr="000A3800">
        <w:rPr>
          <w:rFonts w:ascii="Times New Roman" w:hAnsi="Times New Roman" w:cs="Times New Roman"/>
          <w:sz w:val="28"/>
          <w:szCs w:val="28"/>
          <w:lang w:val="ru-RU"/>
        </w:rPr>
        <w:t>Если отдельные статьи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Положение.</w:t>
      </w:r>
    </w:p>
    <w:sectPr w:rsidR="00F14FE0" w:rsidRPr="000A3800" w:rsidSect="00F14FE0">
      <w:type w:val="continuous"/>
      <w:pgSz w:w="11907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6E7" w:rsidRDefault="005666E7" w:rsidP="00ED696F">
      <w:pPr>
        <w:spacing w:after="0" w:line="240" w:lineRule="auto"/>
      </w:pPr>
      <w:r>
        <w:separator/>
      </w:r>
    </w:p>
  </w:endnote>
  <w:endnote w:type="continuationSeparator" w:id="1">
    <w:p w:rsidR="005666E7" w:rsidRDefault="005666E7" w:rsidP="00ED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80"/>
      <w:gridCol w:w="2092"/>
    </w:tblGrid>
    <w:tr w:rsidR="003A1D38" w:rsidTr="00B42F22">
      <w:trPr>
        <w:trHeight w:val="1247"/>
      </w:trPr>
      <w:tc>
        <w:tcPr>
          <w:tcW w:w="3907" w:type="pct"/>
          <w:tcBorders>
            <w:right w:val="triple" w:sz="4" w:space="0" w:color="4F81BD"/>
          </w:tcBorders>
        </w:tcPr>
        <w:p w:rsidR="003A1D38" w:rsidRPr="003A1D38" w:rsidRDefault="003A1D38" w:rsidP="00B42F22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Положение о </w:t>
          </w:r>
          <w:r w:rsidR="003E758B">
            <w:rPr>
              <w:rFonts w:ascii="Times New Roman" w:hAnsi="Times New Roman" w:cs="Times New Roman"/>
              <w:i/>
              <w:sz w:val="24"/>
              <w:lang w:val="ru-RU"/>
            </w:rPr>
            <w:t>внутреннем контроле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 </w:t>
          </w:r>
        </w:p>
        <w:p w:rsidR="003A1D38" w:rsidRPr="003A1D38" w:rsidRDefault="003A1D38" w:rsidP="00B42F22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0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АО </w:t>
          </w:r>
          <w:r w:rsidR="00B42F22">
            <w:rPr>
              <w:rFonts w:ascii="Times New Roman" w:hAnsi="Times New Roman" w:cs="Times New Roman"/>
              <w:i/>
              <w:sz w:val="24"/>
              <w:lang w:val="ru-RU"/>
            </w:rPr>
            <w:t xml:space="preserve">ИИ 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«</w:t>
          </w:r>
          <w:r w:rsidR="008A1AE0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>Узбекский</w:t>
          </w:r>
          <w:r w:rsidR="00B42F22" w:rsidRPr="00B42F22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 xml:space="preserve"> завод по заготовке и переработке лома, отходов цветных металлов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»</w:t>
          </w:r>
        </w:p>
      </w:tc>
      <w:tc>
        <w:tcPr>
          <w:tcW w:w="1093" w:type="pct"/>
          <w:tcBorders>
            <w:left w:val="triple" w:sz="4" w:space="0" w:color="4F81BD"/>
          </w:tcBorders>
        </w:tcPr>
        <w:p w:rsidR="003A1D38" w:rsidRPr="003A1D38" w:rsidRDefault="003A1D38" w:rsidP="00B42F22">
          <w:pPr>
            <w:tabs>
              <w:tab w:val="left" w:pos="1490"/>
            </w:tabs>
            <w:spacing w:after="0" w:line="240" w:lineRule="auto"/>
            <w:rPr>
              <w:rFonts w:ascii="Times New Roman" w:hAnsi="Times New Roman" w:cs="Times New Roman"/>
              <w:sz w:val="24"/>
              <w:szCs w:val="28"/>
            </w:rPr>
          </w:pPr>
          <w:r w:rsidRPr="003A1D38">
            <w:rPr>
              <w:rFonts w:ascii="Times New Roman" w:hAnsi="Times New Roman" w:cs="Times New Roman"/>
              <w:sz w:val="24"/>
            </w:rPr>
            <w:t xml:space="preserve">Страница </w:t>
          </w:r>
          <w:r w:rsidR="002160C3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PAGE</w:instrText>
          </w:r>
          <w:r w:rsidR="002160C3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254FF8">
            <w:rPr>
              <w:rFonts w:ascii="Times New Roman" w:hAnsi="Times New Roman" w:cs="Times New Roman"/>
              <w:b/>
              <w:noProof/>
              <w:sz w:val="24"/>
            </w:rPr>
            <w:t>9</w:t>
          </w:r>
          <w:r w:rsidR="002160C3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 w:cs="Times New Roman"/>
              <w:sz w:val="24"/>
            </w:rPr>
            <w:t xml:space="preserve"> из </w:t>
          </w:r>
          <w:r w:rsidR="002160C3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NUMPAGES</w:instrText>
          </w:r>
          <w:r w:rsidR="002160C3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254FF8">
            <w:rPr>
              <w:rFonts w:ascii="Times New Roman" w:hAnsi="Times New Roman" w:cs="Times New Roman"/>
              <w:b/>
              <w:noProof/>
              <w:sz w:val="24"/>
            </w:rPr>
            <w:t>9</w:t>
          </w:r>
          <w:r w:rsidR="002160C3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tc>
    </w:tr>
  </w:tbl>
  <w:p w:rsidR="003A1D38" w:rsidRPr="0087051E" w:rsidRDefault="002160C3" w:rsidP="003A1D38">
    <w:pPr>
      <w:pStyle w:val="a6"/>
    </w:pPr>
    <w:r w:rsidRPr="002160C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85.85pt;margin-top:-2.95pt;width:597.85pt;height:0;z-index:251660288;mso-position-horizontal-relative:text;mso-position-vertical-relative:text" o:connectortype="straight" strokecolor="#00b050" strokeweight="3pt">
          <v:shadow type="perspective" color="#7f7f7f" opacity=".5" offset="1pt" offset2="-1pt"/>
        </v:shape>
      </w:pict>
    </w:r>
  </w:p>
  <w:p w:rsidR="00ED696F" w:rsidRPr="003A1D38" w:rsidRDefault="00ED696F" w:rsidP="003A1D38">
    <w:pPr>
      <w:pStyle w:val="a6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6E7" w:rsidRDefault="005666E7" w:rsidP="00ED696F">
      <w:pPr>
        <w:spacing w:after="0" w:line="240" w:lineRule="auto"/>
      </w:pPr>
      <w:r>
        <w:separator/>
      </w:r>
    </w:p>
  </w:footnote>
  <w:footnote w:type="continuationSeparator" w:id="1">
    <w:p w:rsidR="005666E7" w:rsidRDefault="005666E7" w:rsidP="00ED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91C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0C"/>
    <w:multiLevelType w:val="hybridMultilevel"/>
    <w:tmpl w:val="00000F3E"/>
    <w:lvl w:ilvl="0" w:tplc="00000099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B3"/>
    <w:multiLevelType w:val="hybridMultilevel"/>
    <w:tmpl w:val="00002D12"/>
    <w:lvl w:ilvl="0" w:tplc="0000074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DC8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4DE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443"/>
    <w:multiLevelType w:val="hybridMultilevel"/>
    <w:tmpl w:val="000066BB"/>
    <w:lvl w:ilvl="0" w:tplc="0000428B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952"/>
    <w:multiLevelType w:val="hybridMultilevel"/>
    <w:tmpl w:val="00005F90"/>
    <w:lvl w:ilvl="0" w:tplc="0000164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A5A"/>
    <w:multiLevelType w:val="hybridMultilevel"/>
    <w:tmpl w:val="0000767D"/>
    <w:lvl w:ilvl="0" w:tplc="00004509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EB21087"/>
    <w:multiLevelType w:val="hybridMultilevel"/>
    <w:tmpl w:val="51EA15A6"/>
    <w:lvl w:ilvl="0" w:tplc="21E48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D10545"/>
    <w:rsid w:val="00012493"/>
    <w:rsid w:val="00045526"/>
    <w:rsid w:val="00063CAB"/>
    <w:rsid w:val="000A3800"/>
    <w:rsid w:val="000C39B4"/>
    <w:rsid w:val="000D1434"/>
    <w:rsid w:val="000F1E6B"/>
    <w:rsid w:val="0011641C"/>
    <w:rsid w:val="001249AB"/>
    <w:rsid w:val="00124DC9"/>
    <w:rsid w:val="00146C6D"/>
    <w:rsid w:val="001A4F5D"/>
    <w:rsid w:val="001B7582"/>
    <w:rsid w:val="002160C3"/>
    <w:rsid w:val="00254FF8"/>
    <w:rsid w:val="002806D4"/>
    <w:rsid w:val="002B7FDC"/>
    <w:rsid w:val="002E2AEB"/>
    <w:rsid w:val="002E5E94"/>
    <w:rsid w:val="00361CBD"/>
    <w:rsid w:val="00377645"/>
    <w:rsid w:val="003A0F94"/>
    <w:rsid w:val="003A1D38"/>
    <w:rsid w:val="003B43A7"/>
    <w:rsid w:val="003E04E1"/>
    <w:rsid w:val="003E20E5"/>
    <w:rsid w:val="003E758B"/>
    <w:rsid w:val="004036E9"/>
    <w:rsid w:val="004155CD"/>
    <w:rsid w:val="00415897"/>
    <w:rsid w:val="004243CA"/>
    <w:rsid w:val="00451504"/>
    <w:rsid w:val="004C1F0C"/>
    <w:rsid w:val="004C73D5"/>
    <w:rsid w:val="005666E7"/>
    <w:rsid w:val="00575008"/>
    <w:rsid w:val="00671510"/>
    <w:rsid w:val="006D61A4"/>
    <w:rsid w:val="006F1187"/>
    <w:rsid w:val="00701543"/>
    <w:rsid w:val="007E2B63"/>
    <w:rsid w:val="008443E1"/>
    <w:rsid w:val="00846758"/>
    <w:rsid w:val="008A1AE0"/>
    <w:rsid w:val="008A3F53"/>
    <w:rsid w:val="00930381"/>
    <w:rsid w:val="00A64294"/>
    <w:rsid w:val="00A647C6"/>
    <w:rsid w:val="00B23A5F"/>
    <w:rsid w:val="00B42F22"/>
    <w:rsid w:val="00B62C53"/>
    <w:rsid w:val="00B73668"/>
    <w:rsid w:val="00BB61D1"/>
    <w:rsid w:val="00BD0142"/>
    <w:rsid w:val="00BE5D0E"/>
    <w:rsid w:val="00C3337D"/>
    <w:rsid w:val="00C732C4"/>
    <w:rsid w:val="00CA43CC"/>
    <w:rsid w:val="00CA5D0E"/>
    <w:rsid w:val="00CE44CB"/>
    <w:rsid w:val="00CE4AC4"/>
    <w:rsid w:val="00D070EF"/>
    <w:rsid w:val="00D10545"/>
    <w:rsid w:val="00D23089"/>
    <w:rsid w:val="00D76726"/>
    <w:rsid w:val="00E64DE8"/>
    <w:rsid w:val="00EB1610"/>
    <w:rsid w:val="00EB47C9"/>
    <w:rsid w:val="00EC29B8"/>
    <w:rsid w:val="00EC6C20"/>
    <w:rsid w:val="00ED696F"/>
    <w:rsid w:val="00F12826"/>
    <w:rsid w:val="00F14FE0"/>
    <w:rsid w:val="00F804FD"/>
    <w:rsid w:val="00FB1436"/>
    <w:rsid w:val="00FB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96F"/>
  </w:style>
  <w:style w:type="paragraph" w:styleId="a6">
    <w:name w:val="footer"/>
    <w:basedOn w:val="a"/>
    <w:link w:val="a7"/>
    <w:uiPriority w:val="99"/>
    <w:unhideWhenUsed/>
    <w:rsid w:val="00ED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96F"/>
  </w:style>
  <w:style w:type="paragraph" w:styleId="a8">
    <w:name w:val="List Paragraph"/>
    <w:basedOn w:val="a"/>
    <w:uiPriority w:val="34"/>
    <w:qFormat/>
    <w:rsid w:val="002B7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BE2D-E92B-4CA2-A6F5-C7129C01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Feruza</cp:lastModifiedBy>
  <cp:revision>37</cp:revision>
  <cp:lastPrinted>2018-03-14T05:15:00Z</cp:lastPrinted>
  <dcterms:created xsi:type="dcterms:W3CDTF">2016-05-05T10:31:00Z</dcterms:created>
  <dcterms:modified xsi:type="dcterms:W3CDTF">2022-05-19T10:14:00Z</dcterms:modified>
</cp:coreProperties>
</file>